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60BC"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24FF99D"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871"/>
        <w:gridCol w:w="8478"/>
      </w:tblGrid>
      <w:tr w:rsidR="001F0BAA" w:rsidRPr="001F0BAA" w14:paraId="4EEEE188" w14:textId="77777777" w:rsidTr="00FD1911">
        <w:trPr>
          <w:trHeight w:val="93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27FCC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18A11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9E846BF" w14:textId="01D5B4BB" w:rsidR="001F0BAA" w:rsidRPr="00F43237" w:rsidRDefault="00F43237" w:rsidP="00F43237">
            <w:pPr>
              <w:autoSpaceDE w:val="0"/>
              <w:autoSpaceDN w:val="0"/>
              <w:adjustRightInd w:val="0"/>
              <w:spacing w:after="0" w:line="240" w:lineRule="auto"/>
              <w:rPr>
                <w:rFonts w:ascii="Times New Roman" w:hAnsi="Times New Roman" w:cs="Times New Roman"/>
                <w:bCs/>
                <w:iCs/>
                <w:color w:val="333333"/>
                <w:sz w:val="24"/>
                <w:szCs w:val="24"/>
                <w:lang w:eastAsia="uk-UA"/>
              </w:rPr>
            </w:pPr>
            <w:r w:rsidRPr="00F43237">
              <w:rPr>
                <w:rFonts w:ascii="Times New Roman" w:hAnsi="Times New Roman" w:cs="Times New Roman"/>
                <w:bCs/>
                <w:iCs/>
                <w:sz w:val="24"/>
                <w:szCs w:val="24"/>
              </w:rPr>
              <w:t xml:space="preserve">Послуги з ремонту і технічного обслуговування техніки за кодом </w:t>
            </w:r>
            <w:r w:rsidRPr="00F43237">
              <w:rPr>
                <w:rFonts w:ascii="Times New Roman" w:hAnsi="Times New Roman" w:cs="Times New Roman"/>
                <w:bCs/>
                <w:iCs/>
                <w:sz w:val="24"/>
                <w:szCs w:val="24"/>
                <w:lang w:val="en-US"/>
              </w:rPr>
              <w:t>CPV</w:t>
            </w:r>
            <w:r w:rsidRPr="00F43237">
              <w:rPr>
                <w:rFonts w:ascii="Times New Roman" w:hAnsi="Times New Roman" w:cs="Times New Roman"/>
                <w:bCs/>
                <w:iCs/>
                <w:sz w:val="24"/>
                <w:szCs w:val="24"/>
              </w:rPr>
              <w:t xml:space="preserve"> за  ДК 021:2015 – 50530000-9</w:t>
            </w:r>
            <w:r w:rsidRPr="00F43237">
              <w:rPr>
                <w:bCs/>
                <w:iCs/>
                <w:sz w:val="24"/>
                <w:szCs w:val="24"/>
              </w:rPr>
              <w:t xml:space="preserve"> </w:t>
            </w:r>
            <w:r w:rsidRPr="00F43237">
              <w:rPr>
                <w:rFonts w:ascii="Times New Roman" w:hAnsi="Times New Roman" w:cs="Times New Roman"/>
                <w:bCs/>
                <w:iCs/>
                <w:sz w:val="24"/>
                <w:szCs w:val="24"/>
              </w:rPr>
              <w:t>(</w:t>
            </w:r>
            <w:r w:rsidRPr="00F43237">
              <w:rPr>
                <w:bCs/>
                <w:iCs/>
                <w:sz w:val="24"/>
                <w:szCs w:val="24"/>
              </w:rPr>
              <w:t xml:space="preserve"> </w:t>
            </w:r>
            <w:r w:rsidRPr="00F43237">
              <w:rPr>
                <w:rFonts w:ascii="Times New Roman" w:hAnsi="Times New Roman" w:cs="Times New Roman"/>
                <w:bCs/>
                <w:iCs/>
                <w:sz w:val="24"/>
                <w:szCs w:val="24"/>
              </w:rPr>
              <w:t xml:space="preserve">Послуги з ремонту і сервісного обслуговування джерел безперебійного живлення Easy UPS 3S потужністю 30 кВА, </w:t>
            </w:r>
            <w:r w:rsidRPr="00F43237">
              <w:rPr>
                <w:bCs/>
                <w:iCs/>
                <w:sz w:val="24"/>
                <w:szCs w:val="24"/>
              </w:rPr>
              <w:t xml:space="preserve"> </w:t>
            </w:r>
            <w:r w:rsidRPr="00F43237">
              <w:rPr>
                <w:rFonts w:ascii="Times New Roman" w:hAnsi="Times New Roman" w:cs="Times New Roman"/>
                <w:bCs/>
                <w:iCs/>
                <w:sz w:val="24"/>
                <w:szCs w:val="24"/>
              </w:rPr>
              <w:t>відповідний код  за  ДК 021:2015- 50532000--3 Послуги з ремонту і технічного обслуговування електричної техніки, апаратури та супутнього обладнання)</w:t>
            </w:r>
          </w:p>
        </w:tc>
      </w:tr>
      <w:tr w:rsidR="001F0BAA" w:rsidRPr="001F0BAA" w14:paraId="2CE77B02"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D4EF7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7C7BB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7A34052" w14:textId="1F8A7E44"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D44DD9">
              <w:rPr>
                <w:rFonts w:ascii="Times New Roman" w:eastAsia="Times New Roman" w:hAnsi="Times New Roman" w:cs="Times New Roman"/>
                <w:color w:val="333333"/>
                <w:sz w:val="24"/>
                <w:szCs w:val="24"/>
                <w:lang w:val="en-US" w:eastAsia="uk-UA"/>
              </w:rPr>
              <w:t>5</w:t>
            </w:r>
            <w:r w:rsidR="00045C3C">
              <w:rPr>
                <w:rFonts w:ascii="Times New Roman" w:eastAsia="Times New Roman" w:hAnsi="Times New Roman" w:cs="Times New Roman"/>
                <w:color w:val="333333"/>
                <w:sz w:val="24"/>
                <w:szCs w:val="24"/>
                <w:lang w:eastAsia="uk-UA"/>
              </w:rPr>
              <w:t>-</w:t>
            </w:r>
            <w:r w:rsidR="000730D2">
              <w:rPr>
                <w:rFonts w:ascii="Times New Roman" w:eastAsia="Times New Roman" w:hAnsi="Times New Roman" w:cs="Times New Roman"/>
                <w:color w:val="333333"/>
                <w:sz w:val="24"/>
                <w:szCs w:val="24"/>
                <w:lang w:eastAsia="uk-UA"/>
              </w:rPr>
              <w:t>1</w:t>
            </w:r>
            <w:r w:rsidR="000758CD">
              <w:rPr>
                <w:rFonts w:ascii="Times New Roman" w:eastAsia="Times New Roman" w:hAnsi="Times New Roman" w:cs="Times New Roman"/>
                <w:color w:val="333333"/>
                <w:sz w:val="24"/>
                <w:szCs w:val="24"/>
                <w:lang w:eastAsia="uk-UA"/>
              </w:rPr>
              <w:t>1</w:t>
            </w:r>
            <w:r w:rsidR="00045C3C">
              <w:rPr>
                <w:rFonts w:ascii="Times New Roman" w:eastAsia="Times New Roman" w:hAnsi="Times New Roman" w:cs="Times New Roman"/>
                <w:color w:val="333333"/>
                <w:sz w:val="24"/>
                <w:szCs w:val="24"/>
                <w:lang w:eastAsia="uk-UA"/>
              </w:rPr>
              <w:t>-</w:t>
            </w:r>
            <w:r w:rsidR="00FD1911">
              <w:rPr>
                <w:rFonts w:ascii="Times New Roman" w:eastAsia="Times New Roman" w:hAnsi="Times New Roman" w:cs="Times New Roman"/>
                <w:color w:val="333333"/>
                <w:sz w:val="24"/>
                <w:szCs w:val="24"/>
                <w:lang w:val="en-US" w:eastAsia="uk-UA"/>
              </w:rPr>
              <w:t xml:space="preserve"> </w:t>
            </w:r>
            <w:r w:rsidR="00F43237">
              <w:rPr>
                <w:rFonts w:ascii="Times New Roman" w:eastAsia="Times New Roman" w:hAnsi="Times New Roman" w:cs="Times New Roman"/>
                <w:color w:val="333333"/>
                <w:sz w:val="24"/>
                <w:szCs w:val="24"/>
                <w:lang w:eastAsia="uk-UA"/>
              </w:rPr>
              <w:t>24</w:t>
            </w:r>
            <w:r w:rsidR="00CD3172">
              <w:rPr>
                <w:rFonts w:ascii="Times New Roman" w:eastAsia="Times New Roman" w:hAnsi="Times New Roman" w:cs="Times New Roman"/>
                <w:color w:val="333333"/>
                <w:sz w:val="24"/>
                <w:szCs w:val="24"/>
                <w:lang w:eastAsia="uk-UA"/>
              </w:rPr>
              <w:t>-0</w:t>
            </w:r>
            <w:r w:rsidR="00F43237">
              <w:rPr>
                <w:rFonts w:ascii="Times New Roman" w:eastAsia="Times New Roman" w:hAnsi="Times New Roman" w:cs="Times New Roman"/>
                <w:color w:val="333333"/>
                <w:sz w:val="24"/>
                <w:szCs w:val="24"/>
                <w:lang w:eastAsia="uk-UA"/>
              </w:rPr>
              <w:t>11899</w:t>
            </w:r>
            <w:r w:rsidR="00FD1911">
              <w:rPr>
                <w:rFonts w:ascii="Times New Roman" w:eastAsia="Times New Roman" w:hAnsi="Times New Roman" w:cs="Times New Roman"/>
                <w:color w:val="333333"/>
                <w:sz w:val="24"/>
                <w:szCs w:val="24"/>
                <w:lang w:val="en-US" w:eastAsia="uk-UA"/>
              </w:rPr>
              <w:t xml:space="preserve"> </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31CCF7DE"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766C0C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BFFB12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3CB502"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52F8E744"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A309527" w14:textId="77777777" w:rsidTr="00FD1911">
        <w:trPr>
          <w:trHeight w:val="136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F4DC32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44C8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C6F48F7" w14:textId="211264F5" w:rsidR="00494967" w:rsidRDefault="00A00234" w:rsidP="00E238A9">
            <w:pPr>
              <w:pStyle w:val="a3"/>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shd w:val="clear" w:color="auto" w:fill="FFFFFF"/>
              </w:rPr>
              <w:t xml:space="preserve">      </w:t>
            </w:r>
            <w:r w:rsidR="00494967" w:rsidRPr="004A253A">
              <w:rPr>
                <w:rFonts w:ascii="Times New Roman" w:hAnsi="Times New Roman" w:cs="Times New Roman"/>
                <w:sz w:val="24"/>
                <w:szCs w:val="24"/>
                <w:bdr w:val="none" w:sz="0" w:space="0" w:color="auto" w:frame="1"/>
                <w:shd w:val="clear" w:color="auto" w:fill="FFFFFF"/>
              </w:rPr>
              <w:t xml:space="preserve">Очікувану вартість предмета закупівлі </w:t>
            </w:r>
            <w:r w:rsidR="00494967" w:rsidRPr="004A253A">
              <w:rPr>
                <w:rFonts w:ascii="Times New Roman" w:hAnsi="Times New Roman" w:cs="Times New Roman"/>
                <w:sz w:val="24"/>
                <w:szCs w:val="24"/>
                <w:shd w:val="clear" w:color="auto" w:fill="FFFFFF"/>
              </w:rPr>
              <w:t> </w:t>
            </w:r>
            <w:r w:rsidR="00494967" w:rsidRPr="004A253A">
              <w:rPr>
                <w:rFonts w:ascii="Times New Roman" w:hAnsi="Times New Roman" w:cs="Times New Roman"/>
                <w:sz w:val="24"/>
                <w:szCs w:val="24"/>
                <w:bdr w:val="none" w:sz="0" w:space="0" w:color="auto" w:frame="1"/>
                <w:shd w:val="clear" w:color="auto" w:fill="FFFFFF"/>
              </w:rPr>
              <w:t xml:space="preserve">визначено з урахуванням «Примірної методики визначення очікуваної вартості предмету закупівлі» </w:t>
            </w:r>
            <w:r w:rsidR="00494967" w:rsidRPr="004A253A">
              <w:rPr>
                <w:rFonts w:ascii="Times New Roman" w:hAnsi="Times New Roman" w:cs="Times New Roman"/>
                <w:sz w:val="24"/>
                <w:szCs w:val="24"/>
                <w:lang w:eastAsia="ru-RU"/>
              </w:rPr>
              <w:t xml:space="preserve">затвердженої Наказом Мінекономіки від 18.02.2020 № 275  </w:t>
            </w:r>
            <w:r w:rsidR="00344DEA">
              <w:rPr>
                <w:rFonts w:ascii="Times New Roman" w:eastAsia="Times New Roman" w:hAnsi="Times New Roman" w:cs="Times New Roman"/>
                <w:sz w:val="24"/>
                <w:szCs w:val="24"/>
              </w:rPr>
              <w:t xml:space="preserve">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344DEA">
              <w:rPr>
                <w:rFonts w:ascii="Times New Roman" w:hAnsi="Times New Roman" w:cs="Times New Roman"/>
                <w:color w:val="000000"/>
                <w:sz w:val="24"/>
                <w:szCs w:val="24"/>
                <w:bdr w:val="single" w:sz="2" w:space="0" w:color="E5E7EB" w:frame="1"/>
              </w:rPr>
              <w:t xml:space="preserve">методом розрахунку очікуваної вартості товару методом отримання не менше 3-х  комерційних пропозицій від </w:t>
            </w:r>
            <w:r w:rsidR="00F43237">
              <w:rPr>
                <w:rFonts w:ascii="Times New Roman" w:hAnsi="Times New Roman" w:cs="Times New Roman"/>
                <w:color w:val="000000"/>
                <w:sz w:val="24"/>
                <w:szCs w:val="24"/>
                <w:bdr w:val="single" w:sz="2" w:space="0" w:color="E5E7EB" w:frame="1"/>
              </w:rPr>
              <w:t>надавачів даних послуг</w:t>
            </w:r>
            <w:r w:rsidR="00E238A9">
              <w:rPr>
                <w:rFonts w:ascii="Times New Roman" w:hAnsi="Times New Roman" w:cs="Times New Roman"/>
                <w:color w:val="000000"/>
                <w:sz w:val="24"/>
                <w:szCs w:val="24"/>
                <w:bdr w:val="single" w:sz="2" w:space="0" w:color="E5E7EB" w:frame="1"/>
              </w:rPr>
              <w:t>.</w:t>
            </w:r>
            <w:r w:rsidR="00D71C35">
              <w:rPr>
                <w:rFonts w:ascii="Times New Roman" w:hAnsi="Times New Roman" w:cs="Times New Roman"/>
                <w:sz w:val="24"/>
                <w:szCs w:val="24"/>
                <w:lang w:eastAsia="ru-RU"/>
              </w:rPr>
              <w:t>.</w:t>
            </w:r>
            <w:r w:rsidR="00BD535F">
              <w:rPr>
                <w:rFonts w:ascii="Times New Roman" w:hAnsi="Times New Roman" w:cs="Times New Roman"/>
                <w:sz w:val="24"/>
                <w:szCs w:val="24"/>
                <w:lang w:eastAsia="ru-RU"/>
              </w:rPr>
              <w:t xml:space="preserve"> </w:t>
            </w:r>
          </w:p>
          <w:p w14:paraId="78E5E3B8" w14:textId="3E1E87F5" w:rsidR="0030116B" w:rsidRDefault="0030116B" w:rsidP="0030116B">
            <w:pPr>
              <w:pStyle w:val="ab"/>
              <w:ind w:left="0" w:firstLine="567"/>
              <w:jc w:val="both"/>
              <w:rPr>
                <w:rFonts w:ascii="Times New Roman" w:hAnsi="Times New Roman"/>
                <w:b/>
                <w:sz w:val="24"/>
                <w:szCs w:val="24"/>
              </w:rPr>
            </w:pPr>
            <w:r>
              <w:rPr>
                <w:rFonts w:ascii="Times New Roman" w:hAnsi="Times New Roman"/>
                <w:sz w:val="24"/>
                <w:szCs w:val="24"/>
              </w:rPr>
              <w:t>За результатами аналізу (моніторингу) ринкових цін, що базується на зборі та аналізі комерційних пропозицій потенційних постачальників послуг (додаються), орієнтовна вартість послуг з  з урахуванням вартості комплектуючих склад</w:t>
            </w:r>
            <w:r>
              <w:rPr>
                <w:rFonts w:ascii="Times New Roman" w:hAnsi="Times New Roman"/>
                <w:sz w:val="24"/>
                <w:szCs w:val="24"/>
                <w:lang w:val="uk-UA"/>
              </w:rPr>
              <w:t>ає</w:t>
            </w:r>
            <w:r>
              <w:rPr>
                <w:rFonts w:ascii="Times New Roman" w:hAnsi="Times New Roman"/>
                <w:sz w:val="24"/>
                <w:szCs w:val="24"/>
              </w:rPr>
              <w:t>:</w:t>
            </w:r>
          </w:p>
          <w:tbl>
            <w:tblPr>
              <w:tblStyle w:val="ac"/>
              <w:tblW w:w="8163" w:type="dxa"/>
              <w:tblInd w:w="0" w:type="dxa"/>
              <w:tblLook w:val="04A0" w:firstRow="1" w:lastRow="0" w:firstColumn="1" w:lastColumn="0" w:noHBand="0" w:noVBand="1"/>
            </w:tblPr>
            <w:tblGrid>
              <w:gridCol w:w="567"/>
              <w:gridCol w:w="2493"/>
              <w:gridCol w:w="1701"/>
              <w:gridCol w:w="3402"/>
            </w:tblGrid>
            <w:tr w:rsidR="0030116B" w14:paraId="6B553C05" w14:textId="77777777" w:rsidTr="0030116B">
              <w:trPr>
                <w:trHeight w:val="828"/>
              </w:trPr>
              <w:tc>
                <w:tcPr>
                  <w:tcW w:w="567" w:type="dxa"/>
                  <w:tcBorders>
                    <w:top w:val="single" w:sz="4" w:space="0" w:color="auto"/>
                    <w:left w:val="single" w:sz="4" w:space="0" w:color="auto"/>
                    <w:bottom w:val="single" w:sz="4" w:space="0" w:color="auto"/>
                    <w:right w:val="single" w:sz="4" w:space="0" w:color="auto"/>
                  </w:tcBorders>
                  <w:hideMark/>
                </w:tcPr>
                <w:p w14:paraId="265DF66B" w14:textId="77777777" w:rsidR="0030116B" w:rsidRPr="0030116B" w:rsidRDefault="0030116B" w:rsidP="0030116B">
                  <w:pPr>
                    <w:pStyle w:val="ab"/>
                    <w:tabs>
                      <w:tab w:val="left" w:pos="851"/>
                      <w:tab w:val="left" w:pos="993"/>
                    </w:tabs>
                    <w:ind w:left="0"/>
                    <w:jc w:val="center"/>
                    <w:rPr>
                      <w:rFonts w:ascii="Times New Roman" w:hAnsi="Times New Roman"/>
                      <w:b/>
                      <w:color w:val="000000" w:themeColor="text1"/>
                      <w:sz w:val="24"/>
                      <w:szCs w:val="24"/>
                    </w:rPr>
                  </w:pPr>
                  <w:r w:rsidRPr="0030116B">
                    <w:rPr>
                      <w:rFonts w:ascii="Times New Roman" w:hAnsi="Times New Roman"/>
                      <w:b/>
                      <w:color w:val="000000" w:themeColor="text1"/>
                      <w:sz w:val="24"/>
                      <w:szCs w:val="24"/>
                    </w:rPr>
                    <w:t>№ п\п</w:t>
                  </w:r>
                </w:p>
              </w:tc>
              <w:tc>
                <w:tcPr>
                  <w:tcW w:w="2493" w:type="dxa"/>
                  <w:tcBorders>
                    <w:top w:val="single" w:sz="4" w:space="0" w:color="auto"/>
                    <w:left w:val="single" w:sz="4" w:space="0" w:color="auto"/>
                    <w:bottom w:val="single" w:sz="4" w:space="0" w:color="auto"/>
                    <w:right w:val="single" w:sz="4" w:space="0" w:color="auto"/>
                  </w:tcBorders>
                  <w:hideMark/>
                </w:tcPr>
                <w:p w14:paraId="7DC321FC" w14:textId="34528883" w:rsidR="0030116B" w:rsidRPr="0030116B" w:rsidRDefault="0030116B" w:rsidP="0030116B">
                  <w:pPr>
                    <w:pStyle w:val="ab"/>
                    <w:tabs>
                      <w:tab w:val="left" w:pos="851"/>
                      <w:tab w:val="left" w:pos="993"/>
                    </w:tabs>
                    <w:ind w:left="0"/>
                    <w:jc w:val="center"/>
                    <w:rPr>
                      <w:rFonts w:ascii="Times New Roman" w:hAnsi="Times New Roman"/>
                      <w:b/>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41FBCCD0" w14:textId="3FCC1C7C" w:rsidR="0030116B" w:rsidRPr="0030116B" w:rsidRDefault="0030116B" w:rsidP="0030116B">
                  <w:pPr>
                    <w:pStyle w:val="ab"/>
                    <w:tabs>
                      <w:tab w:val="left" w:pos="851"/>
                      <w:tab w:val="left" w:pos="993"/>
                    </w:tabs>
                    <w:ind w:left="0"/>
                    <w:jc w:val="center"/>
                    <w:rPr>
                      <w:rFonts w:ascii="Times New Roman" w:hAnsi="Times New Roman"/>
                      <w:b/>
                      <w:color w:val="000000" w:themeColor="text1"/>
                      <w:sz w:val="24"/>
                      <w:szCs w:val="24"/>
                    </w:rPr>
                  </w:pPr>
                  <w:r w:rsidRPr="0030116B">
                    <w:rPr>
                      <w:rFonts w:ascii="Times New Roman" w:hAnsi="Times New Roman"/>
                      <w:b/>
                      <w:color w:val="000000" w:themeColor="text1"/>
                      <w:sz w:val="24"/>
                      <w:szCs w:val="24"/>
                    </w:rPr>
                    <w:t>Ціна пропозиції, грн</w:t>
                  </w:r>
                  <w:r>
                    <w:rPr>
                      <w:rFonts w:ascii="Times New Roman" w:hAnsi="Times New Roman"/>
                      <w:b/>
                      <w:color w:val="000000" w:themeColor="text1"/>
                      <w:sz w:val="24"/>
                      <w:szCs w:val="24"/>
                      <w:lang w:val="uk-UA"/>
                    </w:rPr>
                    <w:t>.</w:t>
                  </w:r>
                  <w:r w:rsidRPr="0030116B">
                    <w:rPr>
                      <w:rFonts w:ascii="Times New Roman" w:hAnsi="Times New Roman"/>
                      <w:b/>
                      <w:color w:val="000000" w:themeColor="text1"/>
                      <w:sz w:val="24"/>
                      <w:szCs w:val="24"/>
                    </w:rPr>
                    <w:t xml:space="preserve"> з ПДВ</w:t>
                  </w:r>
                </w:p>
              </w:tc>
              <w:tc>
                <w:tcPr>
                  <w:tcW w:w="3402" w:type="dxa"/>
                  <w:tcBorders>
                    <w:top w:val="single" w:sz="4" w:space="0" w:color="auto"/>
                    <w:left w:val="single" w:sz="4" w:space="0" w:color="auto"/>
                    <w:bottom w:val="single" w:sz="4" w:space="0" w:color="auto"/>
                    <w:right w:val="single" w:sz="4" w:space="0" w:color="auto"/>
                  </w:tcBorders>
                  <w:hideMark/>
                </w:tcPr>
                <w:p w14:paraId="73ED2299" w14:textId="77777777" w:rsidR="0030116B" w:rsidRPr="0030116B" w:rsidRDefault="0030116B" w:rsidP="0030116B">
                  <w:pPr>
                    <w:pStyle w:val="ab"/>
                    <w:tabs>
                      <w:tab w:val="left" w:pos="851"/>
                      <w:tab w:val="left" w:pos="993"/>
                    </w:tabs>
                    <w:ind w:left="0"/>
                    <w:jc w:val="center"/>
                    <w:rPr>
                      <w:rFonts w:ascii="Times New Roman" w:hAnsi="Times New Roman"/>
                      <w:b/>
                      <w:color w:val="000000" w:themeColor="text1"/>
                      <w:sz w:val="24"/>
                      <w:szCs w:val="24"/>
                    </w:rPr>
                  </w:pPr>
                  <w:r w:rsidRPr="0030116B">
                    <w:rPr>
                      <w:rFonts w:ascii="Times New Roman" w:hAnsi="Times New Roman"/>
                      <w:b/>
                      <w:color w:val="000000" w:themeColor="text1"/>
                      <w:sz w:val="24"/>
                      <w:szCs w:val="24"/>
                    </w:rPr>
                    <w:t>Дата надання пропозиції, вхідний номер</w:t>
                  </w:r>
                </w:p>
              </w:tc>
            </w:tr>
            <w:tr w:rsidR="0030116B" w14:paraId="5981BC88" w14:textId="77777777" w:rsidTr="0030116B">
              <w:trPr>
                <w:trHeight w:val="317"/>
              </w:trPr>
              <w:tc>
                <w:tcPr>
                  <w:tcW w:w="567" w:type="dxa"/>
                  <w:tcBorders>
                    <w:top w:val="single" w:sz="4" w:space="0" w:color="auto"/>
                    <w:left w:val="single" w:sz="4" w:space="0" w:color="auto"/>
                    <w:bottom w:val="single" w:sz="4" w:space="0" w:color="auto"/>
                    <w:right w:val="single" w:sz="4" w:space="0" w:color="auto"/>
                  </w:tcBorders>
                  <w:hideMark/>
                </w:tcPr>
                <w:p w14:paraId="3FEC7025" w14:textId="77777777" w:rsidR="0030116B" w:rsidRPr="0030116B" w:rsidRDefault="0030116B" w:rsidP="0030116B">
                  <w:pPr>
                    <w:pStyle w:val="ab"/>
                    <w:tabs>
                      <w:tab w:val="left" w:pos="851"/>
                      <w:tab w:val="left" w:pos="993"/>
                    </w:tabs>
                    <w:ind w:left="0"/>
                    <w:jc w:val="both"/>
                    <w:rPr>
                      <w:rFonts w:ascii="Times New Roman" w:hAnsi="Times New Roman"/>
                      <w:bCs/>
                      <w:color w:val="000000" w:themeColor="text1"/>
                      <w:sz w:val="24"/>
                      <w:szCs w:val="24"/>
                    </w:rPr>
                  </w:pPr>
                  <w:r w:rsidRPr="0030116B">
                    <w:rPr>
                      <w:rFonts w:ascii="Times New Roman" w:hAnsi="Times New Roman"/>
                      <w:bCs/>
                      <w:color w:val="000000" w:themeColor="text1"/>
                      <w:sz w:val="24"/>
                      <w:szCs w:val="24"/>
                    </w:rPr>
                    <w:t>1.</w:t>
                  </w:r>
                </w:p>
              </w:tc>
              <w:tc>
                <w:tcPr>
                  <w:tcW w:w="2493" w:type="dxa"/>
                  <w:tcBorders>
                    <w:top w:val="single" w:sz="4" w:space="0" w:color="auto"/>
                    <w:left w:val="single" w:sz="4" w:space="0" w:color="auto"/>
                    <w:bottom w:val="single" w:sz="4" w:space="0" w:color="auto"/>
                    <w:right w:val="single" w:sz="4" w:space="0" w:color="auto"/>
                  </w:tcBorders>
                  <w:hideMark/>
                </w:tcPr>
                <w:p w14:paraId="6C971DAC" w14:textId="43C63F00" w:rsidR="0030116B" w:rsidRPr="0030116B" w:rsidRDefault="0030116B" w:rsidP="0030116B">
                  <w:pPr>
                    <w:pStyle w:val="ab"/>
                    <w:tabs>
                      <w:tab w:val="left" w:pos="851"/>
                      <w:tab w:val="left" w:pos="993"/>
                    </w:tabs>
                    <w:ind w:left="0"/>
                    <w:rPr>
                      <w:rFonts w:ascii="Times New Roman" w:hAnsi="Times New Roman"/>
                      <w:sz w:val="24"/>
                      <w:szCs w:val="24"/>
                    </w:rPr>
                  </w:pPr>
                  <w:r w:rsidRPr="0030116B">
                    <w:rPr>
                      <w:rFonts w:ascii="Times New Roman" w:hAnsi="Times New Roman"/>
                      <w:sz w:val="24"/>
                      <w:szCs w:val="24"/>
                    </w:rPr>
                    <w:t>ТОВ «</w:t>
                  </w:r>
                  <w:r>
                    <w:rPr>
                      <w:rFonts w:ascii="Times New Roman" w:hAnsi="Times New Roman"/>
                      <w:sz w:val="24"/>
                      <w:szCs w:val="24"/>
                      <w:lang w:val="uk-UA"/>
                    </w:rPr>
                    <w:t>Компанія «Ліана»</w:t>
                  </w:r>
                </w:p>
              </w:tc>
              <w:tc>
                <w:tcPr>
                  <w:tcW w:w="1701" w:type="dxa"/>
                  <w:tcBorders>
                    <w:top w:val="single" w:sz="4" w:space="0" w:color="auto"/>
                    <w:left w:val="single" w:sz="4" w:space="0" w:color="auto"/>
                    <w:bottom w:val="single" w:sz="4" w:space="0" w:color="auto"/>
                    <w:right w:val="single" w:sz="4" w:space="0" w:color="auto"/>
                  </w:tcBorders>
                </w:tcPr>
                <w:p w14:paraId="7C5A2E57" w14:textId="146D9259" w:rsidR="0030116B" w:rsidRPr="0030116B" w:rsidRDefault="0030116B" w:rsidP="0030116B">
                  <w:pPr>
                    <w:pStyle w:val="ab"/>
                    <w:tabs>
                      <w:tab w:val="left" w:pos="851"/>
                      <w:tab w:val="left" w:pos="993"/>
                    </w:tabs>
                    <w:ind w:left="0"/>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665 000,00</w:t>
                  </w:r>
                </w:p>
              </w:tc>
              <w:tc>
                <w:tcPr>
                  <w:tcW w:w="3402" w:type="dxa"/>
                  <w:tcBorders>
                    <w:top w:val="single" w:sz="4" w:space="0" w:color="auto"/>
                    <w:left w:val="single" w:sz="4" w:space="0" w:color="auto"/>
                    <w:bottom w:val="single" w:sz="4" w:space="0" w:color="auto"/>
                    <w:right w:val="single" w:sz="4" w:space="0" w:color="auto"/>
                  </w:tcBorders>
                  <w:hideMark/>
                </w:tcPr>
                <w:p w14:paraId="2AB0BE50" w14:textId="79E3C42B" w:rsidR="0030116B" w:rsidRPr="00A72E26" w:rsidRDefault="00A72E26" w:rsidP="0030116B">
                  <w:pPr>
                    <w:pStyle w:val="ab"/>
                    <w:tabs>
                      <w:tab w:val="left" w:pos="851"/>
                      <w:tab w:val="left" w:pos="993"/>
                    </w:tabs>
                    <w:ind w:left="0"/>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w:t>
                  </w:r>
                  <w:r w:rsidR="0030116B" w:rsidRPr="0030116B">
                    <w:rPr>
                      <w:rFonts w:ascii="Times New Roman" w:hAnsi="Times New Roman"/>
                      <w:color w:val="000000" w:themeColor="text1"/>
                      <w:sz w:val="24"/>
                      <w:szCs w:val="24"/>
                    </w:rPr>
                    <w:t>0.11.202</w:t>
                  </w:r>
                  <w:r>
                    <w:rPr>
                      <w:rFonts w:ascii="Times New Roman" w:hAnsi="Times New Roman"/>
                      <w:color w:val="000000" w:themeColor="text1"/>
                      <w:sz w:val="24"/>
                      <w:szCs w:val="24"/>
                      <w:lang w:val="uk-UA"/>
                    </w:rPr>
                    <w:t>5</w:t>
                  </w:r>
                  <w:r w:rsidR="0030116B" w:rsidRPr="0030116B">
                    <w:rPr>
                      <w:rFonts w:ascii="Times New Roman" w:hAnsi="Times New Roman"/>
                      <w:color w:val="000000" w:themeColor="text1"/>
                      <w:sz w:val="24"/>
                      <w:szCs w:val="24"/>
                    </w:rPr>
                    <w:t xml:space="preserve">, вих. </w:t>
                  </w:r>
                  <w:r>
                    <w:rPr>
                      <w:rFonts w:ascii="Times New Roman" w:hAnsi="Times New Roman"/>
                      <w:color w:val="000000" w:themeColor="text1"/>
                      <w:sz w:val="24"/>
                      <w:szCs w:val="24"/>
                      <w:lang w:val="uk-UA"/>
                    </w:rPr>
                    <w:t>04/10-2025</w:t>
                  </w:r>
                </w:p>
              </w:tc>
            </w:tr>
            <w:tr w:rsidR="0030116B" w14:paraId="38403347" w14:textId="77777777" w:rsidTr="0030116B">
              <w:trPr>
                <w:trHeight w:val="317"/>
              </w:trPr>
              <w:tc>
                <w:tcPr>
                  <w:tcW w:w="567" w:type="dxa"/>
                  <w:tcBorders>
                    <w:top w:val="single" w:sz="4" w:space="0" w:color="auto"/>
                    <w:left w:val="single" w:sz="4" w:space="0" w:color="auto"/>
                    <w:bottom w:val="single" w:sz="4" w:space="0" w:color="auto"/>
                    <w:right w:val="single" w:sz="4" w:space="0" w:color="auto"/>
                  </w:tcBorders>
                  <w:hideMark/>
                </w:tcPr>
                <w:p w14:paraId="612A9375" w14:textId="77777777" w:rsidR="0030116B" w:rsidRPr="0030116B" w:rsidRDefault="0030116B" w:rsidP="0030116B">
                  <w:pPr>
                    <w:pStyle w:val="ab"/>
                    <w:tabs>
                      <w:tab w:val="left" w:pos="851"/>
                      <w:tab w:val="left" w:pos="993"/>
                    </w:tabs>
                    <w:ind w:left="0"/>
                    <w:jc w:val="both"/>
                    <w:rPr>
                      <w:rFonts w:ascii="Times New Roman" w:hAnsi="Times New Roman"/>
                      <w:bCs/>
                      <w:color w:val="000000" w:themeColor="text1"/>
                      <w:sz w:val="24"/>
                      <w:szCs w:val="24"/>
                    </w:rPr>
                  </w:pPr>
                  <w:r w:rsidRPr="0030116B">
                    <w:rPr>
                      <w:rFonts w:ascii="Times New Roman" w:hAnsi="Times New Roman"/>
                      <w:bCs/>
                      <w:color w:val="000000" w:themeColor="text1"/>
                      <w:sz w:val="24"/>
                      <w:szCs w:val="24"/>
                    </w:rPr>
                    <w:t>2.</w:t>
                  </w:r>
                </w:p>
              </w:tc>
              <w:tc>
                <w:tcPr>
                  <w:tcW w:w="2493" w:type="dxa"/>
                  <w:tcBorders>
                    <w:top w:val="single" w:sz="4" w:space="0" w:color="auto"/>
                    <w:left w:val="single" w:sz="4" w:space="0" w:color="auto"/>
                    <w:bottom w:val="single" w:sz="4" w:space="0" w:color="auto"/>
                    <w:right w:val="single" w:sz="4" w:space="0" w:color="auto"/>
                  </w:tcBorders>
                  <w:hideMark/>
                </w:tcPr>
                <w:p w14:paraId="3967D87B" w14:textId="4A9416E1" w:rsidR="0030116B" w:rsidRPr="0030116B" w:rsidRDefault="0030116B" w:rsidP="0030116B">
                  <w:pPr>
                    <w:pStyle w:val="ab"/>
                    <w:tabs>
                      <w:tab w:val="left" w:pos="851"/>
                      <w:tab w:val="left" w:pos="993"/>
                    </w:tabs>
                    <w:ind w:left="0"/>
                    <w:jc w:val="both"/>
                    <w:rPr>
                      <w:rFonts w:ascii="Times New Roman" w:hAnsi="Times New Roman"/>
                      <w:color w:val="000000" w:themeColor="text1"/>
                      <w:sz w:val="24"/>
                      <w:szCs w:val="24"/>
                      <w:lang w:val="uk-UA"/>
                    </w:rPr>
                  </w:pPr>
                  <w:r>
                    <w:rPr>
                      <w:rFonts w:ascii="Times New Roman" w:hAnsi="Times New Roman"/>
                      <w:color w:val="000000"/>
                      <w:sz w:val="24"/>
                      <w:szCs w:val="24"/>
                      <w:bdr w:val="single" w:sz="2" w:space="0" w:color="E5E7EB" w:frame="1"/>
                    </w:rPr>
                    <w:t>ТОВ « Ітел ЛТД»</w:t>
                  </w:r>
                </w:p>
              </w:tc>
              <w:tc>
                <w:tcPr>
                  <w:tcW w:w="1701" w:type="dxa"/>
                  <w:tcBorders>
                    <w:top w:val="single" w:sz="4" w:space="0" w:color="auto"/>
                    <w:left w:val="single" w:sz="4" w:space="0" w:color="auto"/>
                    <w:bottom w:val="single" w:sz="4" w:space="0" w:color="auto"/>
                    <w:right w:val="single" w:sz="4" w:space="0" w:color="auto"/>
                  </w:tcBorders>
                </w:tcPr>
                <w:p w14:paraId="5FE8AC84" w14:textId="26A9554B" w:rsidR="0030116B" w:rsidRPr="0030116B" w:rsidRDefault="0030116B" w:rsidP="0030116B">
                  <w:pPr>
                    <w:pStyle w:val="ab"/>
                    <w:tabs>
                      <w:tab w:val="left" w:pos="851"/>
                      <w:tab w:val="left" w:pos="993"/>
                    </w:tabs>
                    <w:ind w:left="0"/>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651 000,00</w:t>
                  </w:r>
                </w:p>
              </w:tc>
              <w:tc>
                <w:tcPr>
                  <w:tcW w:w="3402" w:type="dxa"/>
                  <w:tcBorders>
                    <w:top w:val="single" w:sz="4" w:space="0" w:color="auto"/>
                    <w:left w:val="single" w:sz="4" w:space="0" w:color="auto"/>
                    <w:bottom w:val="single" w:sz="4" w:space="0" w:color="auto"/>
                    <w:right w:val="single" w:sz="4" w:space="0" w:color="auto"/>
                  </w:tcBorders>
                  <w:hideMark/>
                </w:tcPr>
                <w:p w14:paraId="7C2F28E1" w14:textId="58B28E7B" w:rsidR="0030116B" w:rsidRPr="0030116B" w:rsidRDefault="0030116B" w:rsidP="0030116B">
                  <w:pPr>
                    <w:pStyle w:val="ab"/>
                    <w:tabs>
                      <w:tab w:val="left" w:pos="851"/>
                      <w:tab w:val="left" w:pos="993"/>
                    </w:tabs>
                    <w:ind w:left="0"/>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17</w:t>
                  </w:r>
                  <w:r w:rsidRPr="0030116B">
                    <w:rPr>
                      <w:rFonts w:ascii="Times New Roman" w:hAnsi="Times New Roman"/>
                      <w:color w:val="000000" w:themeColor="text1"/>
                      <w:sz w:val="24"/>
                      <w:szCs w:val="24"/>
                    </w:rPr>
                    <w:t>.11</w:t>
                  </w:r>
                  <w:r>
                    <w:rPr>
                      <w:rFonts w:ascii="Times New Roman" w:hAnsi="Times New Roman"/>
                      <w:color w:val="000000" w:themeColor="text1"/>
                      <w:sz w:val="24"/>
                      <w:szCs w:val="24"/>
                      <w:lang w:val="uk-UA"/>
                    </w:rPr>
                    <w:t>.</w:t>
                  </w:r>
                  <w:r w:rsidRPr="0030116B">
                    <w:rPr>
                      <w:rFonts w:ascii="Times New Roman" w:hAnsi="Times New Roman"/>
                      <w:color w:val="000000" w:themeColor="text1"/>
                      <w:sz w:val="24"/>
                      <w:szCs w:val="24"/>
                    </w:rPr>
                    <w:t>202</w:t>
                  </w:r>
                  <w:r>
                    <w:rPr>
                      <w:rFonts w:ascii="Times New Roman" w:hAnsi="Times New Roman"/>
                      <w:color w:val="000000" w:themeColor="text1"/>
                      <w:sz w:val="24"/>
                      <w:szCs w:val="24"/>
                      <w:lang w:val="uk-UA"/>
                    </w:rPr>
                    <w:t>5</w:t>
                  </w:r>
                  <w:r w:rsidRPr="0030116B">
                    <w:rPr>
                      <w:rFonts w:ascii="Times New Roman" w:hAnsi="Times New Roman"/>
                      <w:color w:val="000000" w:themeColor="text1"/>
                      <w:sz w:val="24"/>
                      <w:szCs w:val="24"/>
                    </w:rPr>
                    <w:t xml:space="preserve">, </w:t>
                  </w:r>
                  <w:r>
                    <w:rPr>
                      <w:rFonts w:ascii="Times New Roman" w:hAnsi="Times New Roman"/>
                      <w:color w:val="000000" w:themeColor="text1"/>
                      <w:sz w:val="24"/>
                      <w:szCs w:val="24"/>
                      <w:lang w:val="uk-UA"/>
                    </w:rPr>
                    <w:t>вих.</w:t>
                  </w:r>
                  <w:r w:rsidR="00A72E26">
                    <w:rPr>
                      <w:rFonts w:ascii="Times New Roman" w:hAnsi="Times New Roman"/>
                      <w:color w:val="000000" w:themeColor="text1"/>
                      <w:sz w:val="24"/>
                      <w:szCs w:val="24"/>
                      <w:lang w:val="uk-UA"/>
                    </w:rPr>
                    <w:t>15</w:t>
                  </w:r>
                </w:p>
              </w:tc>
            </w:tr>
            <w:tr w:rsidR="0030116B" w14:paraId="0859A6AC" w14:textId="77777777" w:rsidTr="0030116B">
              <w:trPr>
                <w:trHeight w:val="317"/>
              </w:trPr>
              <w:tc>
                <w:tcPr>
                  <w:tcW w:w="567" w:type="dxa"/>
                  <w:tcBorders>
                    <w:top w:val="single" w:sz="4" w:space="0" w:color="auto"/>
                    <w:left w:val="single" w:sz="4" w:space="0" w:color="auto"/>
                    <w:bottom w:val="single" w:sz="4" w:space="0" w:color="auto"/>
                    <w:right w:val="single" w:sz="4" w:space="0" w:color="auto"/>
                  </w:tcBorders>
                  <w:hideMark/>
                </w:tcPr>
                <w:p w14:paraId="11FC083B" w14:textId="77777777" w:rsidR="0030116B" w:rsidRPr="0030116B" w:rsidRDefault="0030116B" w:rsidP="0030116B">
                  <w:pPr>
                    <w:pStyle w:val="ab"/>
                    <w:tabs>
                      <w:tab w:val="left" w:pos="851"/>
                      <w:tab w:val="left" w:pos="993"/>
                    </w:tabs>
                    <w:ind w:left="0"/>
                    <w:jc w:val="both"/>
                    <w:rPr>
                      <w:rFonts w:ascii="Times New Roman" w:hAnsi="Times New Roman"/>
                      <w:bCs/>
                      <w:color w:val="000000" w:themeColor="text1"/>
                      <w:sz w:val="24"/>
                      <w:szCs w:val="24"/>
                    </w:rPr>
                  </w:pPr>
                  <w:r w:rsidRPr="0030116B">
                    <w:rPr>
                      <w:rFonts w:ascii="Times New Roman" w:hAnsi="Times New Roman"/>
                      <w:bCs/>
                      <w:color w:val="000000" w:themeColor="text1"/>
                      <w:sz w:val="24"/>
                      <w:szCs w:val="24"/>
                    </w:rPr>
                    <w:t>3.</w:t>
                  </w:r>
                </w:p>
              </w:tc>
              <w:tc>
                <w:tcPr>
                  <w:tcW w:w="2493" w:type="dxa"/>
                  <w:tcBorders>
                    <w:top w:val="single" w:sz="4" w:space="0" w:color="auto"/>
                    <w:left w:val="single" w:sz="4" w:space="0" w:color="auto"/>
                    <w:bottom w:val="single" w:sz="4" w:space="0" w:color="auto"/>
                    <w:right w:val="single" w:sz="4" w:space="0" w:color="auto"/>
                  </w:tcBorders>
                  <w:hideMark/>
                </w:tcPr>
                <w:p w14:paraId="0CD48652" w14:textId="73993230" w:rsidR="0030116B" w:rsidRPr="0030116B" w:rsidRDefault="0030116B" w:rsidP="0030116B">
                  <w:pPr>
                    <w:pStyle w:val="ab"/>
                    <w:tabs>
                      <w:tab w:val="left" w:pos="851"/>
                      <w:tab w:val="left" w:pos="993"/>
                    </w:tabs>
                    <w:ind w:left="0"/>
                    <w:jc w:val="both"/>
                    <w:rPr>
                      <w:rFonts w:ascii="Times New Roman" w:hAnsi="Times New Roman"/>
                      <w:color w:val="000000" w:themeColor="text1"/>
                      <w:sz w:val="24"/>
                      <w:szCs w:val="24"/>
                    </w:rPr>
                  </w:pPr>
                  <w:r>
                    <w:rPr>
                      <w:rFonts w:ascii="Times New Roman" w:hAnsi="Times New Roman"/>
                      <w:color w:val="000000"/>
                      <w:sz w:val="24"/>
                      <w:szCs w:val="24"/>
                      <w:bdr w:val="single" w:sz="2" w:space="0" w:color="E5E7EB" w:frame="1"/>
                    </w:rPr>
                    <w:t>ТОВ «Дайтекс</w:t>
                  </w:r>
                </w:p>
              </w:tc>
              <w:tc>
                <w:tcPr>
                  <w:tcW w:w="1701" w:type="dxa"/>
                  <w:tcBorders>
                    <w:top w:val="single" w:sz="4" w:space="0" w:color="auto"/>
                    <w:left w:val="single" w:sz="4" w:space="0" w:color="auto"/>
                    <w:bottom w:val="single" w:sz="4" w:space="0" w:color="auto"/>
                    <w:right w:val="single" w:sz="4" w:space="0" w:color="auto"/>
                  </w:tcBorders>
                </w:tcPr>
                <w:p w14:paraId="5031A4D2" w14:textId="3515483B" w:rsidR="0030116B" w:rsidRPr="0030116B" w:rsidRDefault="0030116B" w:rsidP="0030116B">
                  <w:pPr>
                    <w:pStyle w:val="ab"/>
                    <w:tabs>
                      <w:tab w:val="left" w:pos="851"/>
                      <w:tab w:val="left" w:pos="993"/>
                    </w:tabs>
                    <w:ind w:left="0"/>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658 994,40</w:t>
                  </w:r>
                </w:p>
              </w:tc>
              <w:tc>
                <w:tcPr>
                  <w:tcW w:w="3402" w:type="dxa"/>
                  <w:tcBorders>
                    <w:top w:val="single" w:sz="4" w:space="0" w:color="auto"/>
                    <w:left w:val="single" w:sz="4" w:space="0" w:color="auto"/>
                    <w:bottom w:val="single" w:sz="4" w:space="0" w:color="auto"/>
                    <w:right w:val="single" w:sz="4" w:space="0" w:color="auto"/>
                  </w:tcBorders>
                  <w:hideMark/>
                </w:tcPr>
                <w:p w14:paraId="1B8CEC80" w14:textId="03C1ABC5" w:rsidR="0030116B" w:rsidRPr="0030116B" w:rsidRDefault="0030116B" w:rsidP="0030116B">
                  <w:pPr>
                    <w:pStyle w:val="ab"/>
                    <w:tabs>
                      <w:tab w:val="left" w:pos="851"/>
                      <w:tab w:val="left" w:pos="993"/>
                    </w:tabs>
                    <w:ind w:left="0"/>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14</w:t>
                  </w:r>
                  <w:r w:rsidRPr="0030116B">
                    <w:rPr>
                      <w:rFonts w:ascii="Times New Roman" w:hAnsi="Times New Roman"/>
                      <w:color w:val="000000" w:themeColor="text1"/>
                      <w:sz w:val="24"/>
                      <w:szCs w:val="24"/>
                    </w:rPr>
                    <w:t>.11.202</w:t>
                  </w:r>
                  <w:r>
                    <w:rPr>
                      <w:rFonts w:ascii="Times New Roman" w:hAnsi="Times New Roman"/>
                      <w:color w:val="000000" w:themeColor="text1"/>
                      <w:sz w:val="24"/>
                      <w:szCs w:val="24"/>
                      <w:lang w:val="uk-UA"/>
                    </w:rPr>
                    <w:t>5</w:t>
                  </w:r>
                  <w:r w:rsidRPr="0030116B">
                    <w:rPr>
                      <w:rFonts w:ascii="Times New Roman" w:hAnsi="Times New Roman"/>
                      <w:color w:val="000000" w:themeColor="text1"/>
                      <w:sz w:val="24"/>
                      <w:szCs w:val="24"/>
                    </w:rPr>
                    <w:t xml:space="preserve">, </w:t>
                  </w:r>
                  <w:r>
                    <w:rPr>
                      <w:rFonts w:ascii="Times New Roman" w:hAnsi="Times New Roman"/>
                      <w:color w:val="000000" w:themeColor="text1"/>
                      <w:sz w:val="24"/>
                      <w:szCs w:val="24"/>
                      <w:lang w:val="uk-UA"/>
                    </w:rPr>
                    <w:t>вих.14112025-1</w:t>
                  </w:r>
                </w:p>
              </w:tc>
            </w:tr>
            <w:tr w:rsidR="0030116B" w14:paraId="7EDF887C" w14:textId="77777777" w:rsidTr="0030116B">
              <w:trPr>
                <w:trHeight w:val="317"/>
              </w:trPr>
              <w:tc>
                <w:tcPr>
                  <w:tcW w:w="567" w:type="dxa"/>
                  <w:tcBorders>
                    <w:top w:val="single" w:sz="4" w:space="0" w:color="auto"/>
                    <w:left w:val="single" w:sz="4" w:space="0" w:color="auto"/>
                    <w:bottom w:val="single" w:sz="4" w:space="0" w:color="auto"/>
                    <w:right w:val="single" w:sz="4" w:space="0" w:color="auto"/>
                  </w:tcBorders>
                </w:tcPr>
                <w:p w14:paraId="725BC27D" w14:textId="77777777" w:rsidR="0030116B" w:rsidRPr="0030116B" w:rsidRDefault="0030116B" w:rsidP="0030116B">
                  <w:pPr>
                    <w:pStyle w:val="ab"/>
                    <w:tabs>
                      <w:tab w:val="left" w:pos="851"/>
                      <w:tab w:val="left" w:pos="993"/>
                    </w:tabs>
                    <w:ind w:left="0"/>
                    <w:jc w:val="both"/>
                    <w:rPr>
                      <w:rFonts w:ascii="Times New Roman" w:hAnsi="Times New Roman"/>
                      <w:color w:val="000000" w:themeColor="text1"/>
                      <w:sz w:val="24"/>
                      <w:szCs w:val="24"/>
                    </w:rPr>
                  </w:pPr>
                </w:p>
              </w:tc>
              <w:tc>
                <w:tcPr>
                  <w:tcW w:w="2493" w:type="dxa"/>
                  <w:tcBorders>
                    <w:top w:val="single" w:sz="4" w:space="0" w:color="auto"/>
                    <w:left w:val="single" w:sz="4" w:space="0" w:color="auto"/>
                    <w:bottom w:val="single" w:sz="4" w:space="0" w:color="auto"/>
                    <w:right w:val="single" w:sz="4" w:space="0" w:color="auto"/>
                  </w:tcBorders>
                  <w:hideMark/>
                </w:tcPr>
                <w:p w14:paraId="4541237B" w14:textId="77777777" w:rsidR="0030116B" w:rsidRPr="0030116B" w:rsidRDefault="0030116B" w:rsidP="0030116B">
                  <w:pPr>
                    <w:pStyle w:val="ab"/>
                    <w:tabs>
                      <w:tab w:val="left" w:pos="851"/>
                      <w:tab w:val="left" w:pos="993"/>
                    </w:tabs>
                    <w:ind w:left="0"/>
                    <w:jc w:val="right"/>
                    <w:rPr>
                      <w:rFonts w:ascii="Times New Roman" w:hAnsi="Times New Roman"/>
                      <w:b/>
                      <w:color w:val="000000" w:themeColor="text1"/>
                      <w:sz w:val="24"/>
                      <w:szCs w:val="24"/>
                    </w:rPr>
                  </w:pPr>
                  <w:r w:rsidRPr="0030116B">
                    <w:rPr>
                      <w:rFonts w:ascii="Times New Roman" w:hAnsi="Times New Roman"/>
                      <w:b/>
                      <w:color w:val="000000" w:themeColor="text1"/>
                      <w:sz w:val="24"/>
                      <w:szCs w:val="24"/>
                    </w:rPr>
                    <w:t>Середня вартість послуг</w:t>
                  </w:r>
                </w:p>
              </w:tc>
              <w:tc>
                <w:tcPr>
                  <w:tcW w:w="1701" w:type="dxa"/>
                  <w:tcBorders>
                    <w:top w:val="single" w:sz="4" w:space="0" w:color="auto"/>
                    <w:left w:val="single" w:sz="4" w:space="0" w:color="auto"/>
                    <w:bottom w:val="single" w:sz="4" w:space="0" w:color="auto"/>
                    <w:right w:val="single" w:sz="4" w:space="0" w:color="auto"/>
                  </w:tcBorders>
                  <w:hideMark/>
                </w:tcPr>
                <w:p w14:paraId="6EFAF914" w14:textId="01EE988A" w:rsidR="0030116B" w:rsidRPr="0030116B" w:rsidRDefault="0030116B" w:rsidP="0030116B">
                  <w:pPr>
                    <w:pStyle w:val="ab"/>
                    <w:tabs>
                      <w:tab w:val="left" w:pos="851"/>
                      <w:tab w:val="left" w:pos="993"/>
                    </w:tabs>
                    <w:ind w:left="0"/>
                    <w:jc w:val="both"/>
                    <w:rPr>
                      <w:rFonts w:ascii="Times New Roman" w:hAnsi="Times New Roman"/>
                      <w:bCs/>
                      <w:color w:val="000000" w:themeColor="text1"/>
                      <w:sz w:val="24"/>
                      <w:szCs w:val="24"/>
                      <w:lang w:val="uk-UA"/>
                    </w:rPr>
                  </w:pPr>
                  <w:r w:rsidRPr="0030116B">
                    <w:rPr>
                      <w:rFonts w:ascii="Times New Roman" w:hAnsi="Times New Roman"/>
                      <w:bCs/>
                      <w:color w:val="000000" w:themeColor="text1"/>
                      <w:sz w:val="24"/>
                      <w:szCs w:val="24"/>
                      <w:lang w:val="uk-UA"/>
                    </w:rPr>
                    <w:t>658 33</w:t>
                  </w:r>
                  <w:r w:rsidR="00A72E26">
                    <w:rPr>
                      <w:rFonts w:ascii="Times New Roman" w:hAnsi="Times New Roman"/>
                      <w:bCs/>
                      <w:color w:val="000000" w:themeColor="text1"/>
                      <w:sz w:val="24"/>
                      <w:szCs w:val="24"/>
                      <w:lang w:val="uk-UA"/>
                    </w:rPr>
                    <w:t>1</w:t>
                  </w:r>
                  <w:r w:rsidRPr="0030116B">
                    <w:rPr>
                      <w:rFonts w:ascii="Times New Roman" w:hAnsi="Times New Roman"/>
                      <w:bCs/>
                      <w:color w:val="000000" w:themeColor="text1"/>
                      <w:sz w:val="24"/>
                      <w:szCs w:val="24"/>
                      <w:lang w:val="uk-UA"/>
                    </w:rPr>
                    <w:t>,</w:t>
                  </w:r>
                  <w:r w:rsidR="00A72E26">
                    <w:rPr>
                      <w:rFonts w:ascii="Times New Roman" w:hAnsi="Times New Roman"/>
                      <w:bCs/>
                      <w:color w:val="000000" w:themeColor="text1"/>
                      <w:sz w:val="24"/>
                      <w:szCs w:val="24"/>
                      <w:lang w:val="uk-UA"/>
                    </w:rPr>
                    <w:t>46</w:t>
                  </w:r>
                </w:p>
              </w:tc>
              <w:tc>
                <w:tcPr>
                  <w:tcW w:w="3402" w:type="dxa"/>
                  <w:tcBorders>
                    <w:top w:val="single" w:sz="4" w:space="0" w:color="auto"/>
                    <w:left w:val="single" w:sz="4" w:space="0" w:color="auto"/>
                    <w:bottom w:val="single" w:sz="4" w:space="0" w:color="auto"/>
                    <w:right w:val="single" w:sz="4" w:space="0" w:color="auto"/>
                  </w:tcBorders>
                </w:tcPr>
                <w:p w14:paraId="2D32547A" w14:textId="77777777" w:rsidR="0030116B" w:rsidRPr="0030116B" w:rsidRDefault="0030116B" w:rsidP="0030116B">
                  <w:pPr>
                    <w:pStyle w:val="ab"/>
                    <w:tabs>
                      <w:tab w:val="left" w:pos="851"/>
                      <w:tab w:val="left" w:pos="993"/>
                    </w:tabs>
                    <w:ind w:left="0"/>
                    <w:jc w:val="both"/>
                    <w:rPr>
                      <w:rFonts w:ascii="Times New Roman" w:hAnsi="Times New Roman"/>
                      <w:color w:val="000000" w:themeColor="text1"/>
                      <w:sz w:val="24"/>
                      <w:szCs w:val="24"/>
                    </w:rPr>
                  </w:pPr>
                </w:p>
              </w:tc>
            </w:tr>
          </w:tbl>
          <w:p w14:paraId="3DAEC730" w14:textId="7B915DEA" w:rsidR="0030116B" w:rsidRPr="004A253A" w:rsidRDefault="0030116B" w:rsidP="00A72E26">
            <w:pPr>
              <w:tabs>
                <w:tab w:val="left" w:pos="284"/>
                <w:tab w:val="left" w:pos="567"/>
                <w:tab w:val="left" w:pos="709"/>
              </w:tabs>
              <w:spacing w:after="0" w:line="240" w:lineRule="auto"/>
              <w:rPr>
                <w:rFonts w:ascii="Times New Roman" w:eastAsia="Times New Roman" w:hAnsi="Times New Roman" w:cs="Times New Roman"/>
                <w:sz w:val="24"/>
                <w:szCs w:val="24"/>
                <w:lang w:val="en-US"/>
              </w:rPr>
            </w:pPr>
            <w:r>
              <w:rPr>
                <w:rFonts w:ascii="Times New Roman" w:hAnsi="Times New Roman"/>
                <w:sz w:val="24"/>
                <w:szCs w:val="24"/>
              </w:rPr>
              <w:t>Враховуючи округлення до десяток гривень визначаємо середню вартість послуг у сумі</w:t>
            </w:r>
            <w:r w:rsidR="00A72E26">
              <w:rPr>
                <w:rFonts w:ascii="Times New Roman" w:hAnsi="Times New Roman"/>
                <w:sz w:val="24"/>
                <w:szCs w:val="24"/>
              </w:rPr>
              <w:t xml:space="preserve"> 658 332 грн.00 коп. </w:t>
            </w:r>
            <w:r>
              <w:rPr>
                <w:rFonts w:ascii="Times New Roman" w:hAnsi="Times New Roman"/>
                <w:sz w:val="24"/>
                <w:szCs w:val="24"/>
              </w:rPr>
              <w:t xml:space="preserve">з ПДВ. Таким чином визначаємо очікувану вартість предмета закупівлі у загальній сумі </w:t>
            </w:r>
            <w:r w:rsidR="00A72E26">
              <w:rPr>
                <w:rFonts w:ascii="Times New Roman" w:hAnsi="Times New Roman"/>
                <w:sz w:val="24"/>
                <w:szCs w:val="24"/>
              </w:rPr>
              <w:t xml:space="preserve"> 658 332 грн.00 коп. </w:t>
            </w:r>
            <w:r>
              <w:rPr>
                <w:rFonts w:ascii="Times New Roman" w:hAnsi="Times New Roman"/>
                <w:sz w:val="24"/>
                <w:szCs w:val="24"/>
              </w:rPr>
              <w:t xml:space="preserve"> з ПДВ.</w:t>
            </w:r>
          </w:p>
          <w:p w14:paraId="5C4690DF" w14:textId="77777777" w:rsidR="00494967" w:rsidRPr="004A253A" w:rsidRDefault="00494967" w:rsidP="004032D8">
            <w:pPr>
              <w:spacing w:after="0" w:line="240" w:lineRule="auto"/>
              <w:ind w:right="-108" w:firstLine="84"/>
              <w:jc w:val="both"/>
              <w:rPr>
                <w:rFonts w:ascii="Times New Roman" w:eastAsia="Times New Roman" w:hAnsi="Times New Roman" w:cs="Times New Roman"/>
                <w:sz w:val="24"/>
                <w:szCs w:val="24"/>
                <w:lang w:val="en-US" w:eastAsia="uk-UA"/>
              </w:rPr>
            </w:pPr>
          </w:p>
        </w:tc>
      </w:tr>
      <w:tr w:rsidR="001F0BAA" w:rsidRPr="001F0BAA" w14:paraId="0F650618" w14:textId="77777777" w:rsidTr="000D1A74">
        <w:trPr>
          <w:trHeight w:val="1586"/>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D6C05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9E05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BD915D" w14:textId="504926D5" w:rsidR="00A00234" w:rsidRDefault="001A10E8" w:rsidP="00A00234">
            <w:pPr>
              <w:widowControl w:val="0"/>
              <w:tabs>
                <w:tab w:val="left" w:pos="426"/>
                <w:tab w:val="left" w:pos="709"/>
                <w:tab w:val="left" w:pos="851"/>
              </w:tabs>
              <w:spacing w:before="2" w:after="0" w:line="240" w:lineRule="auto"/>
              <w:ind w:firstLine="567"/>
              <w:jc w:val="both"/>
              <w:rPr>
                <w:rFonts w:ascii="Times New Roman" w:hAnsi="Times New Roman"/>
                <w:sz w:val="24"/>
                <w:szCs w:val="24"/>
              </w:rPr>
            </w:pPr>
            <w:r w:rsidRPr="001A10E8">
              <w:rPr>
                <w:rFonts w:ascii="Times New Roman" w:hAnsi="Times New Roman" w:cs="Times New Roman"/>
                <w:color w:val="1D1D1B"/>
                <w:sz w:val="24"/>
                <w:szCs w:val="24"/>
                <w:shd w:val="clear" w:color="auto" w:fill="FFFFFF"/>
              </w:rPr>
              <w:t>Розмір бюджетного призначення визначено відповідно</w:t>
            </w:r>
            <w:r w:rsidR="00A00234">
              <w:rPr>
                <w:rFonts w:ascii="Times New Roman" w:hAnsi="Times New Roman" w:cs="Times New Roman"/>
                <w:color w:val="1D1D1B"/>
                <w:sz w:val="24"/>
                <w:szCs w:val="24"/>
                <w:shd w:val="clear" w:color="auto" w:fill="FFFFFF"/>
              </w:rPr>
              <w:t xml:space="preserve"> до </w:t>
            </w:r>
            <w:r w:rsidRPr="001A10E8">
              <w:rPr>
                <w:rFonts w:ascii="Times New Roman" w:hAnsi="Times New Roman" w:cs="Times New Roman"/>
                <w:color w:val="1D1D1B"/>
                <w:sz w:val="24"/>
                <w:szCs w:val="24"/>
                <w:shd w:val="clear" w:color="auto" w:fill="FFFFFF"/>
              </w:rPr>
              <w:t xml:space="preserve"> </w:t>
            </w:r>
            <w:r w:rsidR="00A00234">
              <w:rPr>
                <w:rFonts w:ascii="Times New Roman" w:hAnsi="Times New Roman"/>
                <w:sz w:val="24"/>
                <w:szCs w:val="24"/>
              </w:rPr>
              <w:t>перерозподілу деяких видатків місцевого бюджету  на 2025  рік за КПКВК 021160.</w:t>
            </w:r>
          </w:p>
          <w:p w14:paraId="60CC0EEA" w14:textId="002338CF" w:rsidR="00FA4E3E" w:rsidRPr="000645F4" w:rsidRDefault="00A00234" w:rsidP="00A00234">
            <w:pPr>
              <w:spacing w:after="0" w:line="240" w:lineRule="auto"/>
              <w:ind w:right="-108"/>
              <w:jc w:val="both"/>
              <w:rPr>
                <w:lang w:eastAsia="uk-UA"/>
              </w:rPr>
            </w:pPr>
            <w:r>
              <w:rPr>
                <w:rFonts w:ascii="Times New Roman" w:hAnsi="Times New Roman" w:cs="Times New Roman"/>
                <w:color w:val="1D1D1B"/>
                <w:sz w:val="24"/>
                <w:szCs w:val="24"/>
                <w:shd w:val="clear" w:color="auto" w:fill="FFFFFF"/>
              </w:rPr>
              <w:t xml:space="preserve"> </w:t>
            </w:r>
            <w:r w:rsidR="001A10E8" w:rsidRPr="001A10E8">
              <w:rPr>
                <w:rFonts w:ascii="Times New Roman" w:hAnsi="Times New Roman" w:cs="Times New Roman"/>
                <w:color w:val="1D1D1B"/>
                <w:sz w:val="24"/>
                <w:szCs w:val="24"/>
                <w:shd w:val="clear" w:color="auto" w:fill="FFFFFF"/>
              </w:rPr>
              <w:t xml:space="preserve"> </w:t>
            </w:r>
            <w:r>
              <w:rPr>
                <w:rFonts w:ascii="Times New Roman" w:hAnsi="Times New Roman" w:cs="Times New Roman"/>
                <w:color w:val="1D1D1B"/>
                <w:sz w:val="24"/>
                <w:szCs w:val="24"/>
                <w:shd w:val="clear" w:color="auto" w:fill="FFFFFF"/>
              </w:rPr>
              <w:t xml:space="preserve">    </w:t>
            </w:r>
            <w:r w:rsidR="001A10E8" w:rsidRPr="001A10E8">
              <w:rPr>
                <w:rFonts w:ascii="Times New Roman" w:hAnsi="Times New Roman" w:cs="Times New Roman"/>
                <w:color w:val="1D1D1B"/>
                <w:sz w:val="24"/>
                <w:szCs w:val="24"/>
                <w:shd w:val="clear" w:color="auto" w:fill="FFFFFF"/>
              </w:rPr>
              <w:t xml:space="preserve"> Відповідно до пункту 1 статті 4 Закону України «Про публічні закупівлі» планування закупівель здійснюється</w:t>
            </w:r>
            <w:r>
              <w:rPr>
                <w:rFonts w:ascii="Times New Roman" w:hAnsi="Times New Roman" w:cs="Times New Roman"/>
                <w:color w:val="1D1D1B"/>
                <w:sz w:val="24"/>
                <w:szCs w:val="24"/>
                <w:shd w:val="clear" w:color="auto" w:fill="FFFFFF"/>
              </w:rPr>
              <w:t xml:space="preserve"> </w:t>
            </w:r>
            <w:r w:rsidR="001A10E8" w:rsidRPr="001A10E8">
              <w:rPr>
                <w:rFonts w:ascii="Times New Roman" w:hAnsi="Times New Roman" w:cs="Times New Roman"/>
                <w:color w:val="1D1D1B"/>
                <w:sz w:val="24"/>
                <w:szCs w:val="24"/>
                <w:shd w:val="clear" w:color="auto" w:fill="FFFFFF"/>
              </w:rPr>
              <w:t xml:space="preserve"> на підставі наявної потреби у  закупівлі товарів, робіт і послуг</w:t>
            </w:r>
            <w:r w:rsidR="001A10E8">
              <w:rPr>
                <w:rFonts w:ascii="Times New Roman" w:hAnsi="Times New Roman" w:cs="Times New Roman"/>
                <w:color w:val="1D1D1B"/>
                <w:sz w:val="24"/>
                <w:szCs w:val="24"/>
                <w:shd w:val="clear" w:color="auto" w:fill="FFFFFF"/>
              </w:rPr>
              <w:t xml:space="preserve"> та складає </w:t>
            </w:r>
            <w:r>
              <w:rPr>
                <w:rFonts w:ascii="Times New Roman" w:hAnsi="Times New Roman" w:cs="Times New Roman"/>
                <w:color w:val="1D1D1B"/>
                <w:sz w:val="24"/>
                <w:szCs w:val="24"/>
                <w:shd w:val="clear" w:color="auto" w:fill="FFFFFF"/>
              </w:rPr>
              <w:t xml:space="preserve"> </w:t>
            </w:r>
            <w:r w:rsidR="000D1A74">
              <w:rPr>
                <w:rFonts w:ascii="Times New Roman" w:hAnsi="Times New Roman" w:cs="Times New Roman"/>
                <w:color w:val="1D1D1B"/>
                <w:sz w:val="24"/>
                <w:szCs w:val="24"/>
                <w:shd w:val="clear" w:color="auto" w:fill="FFFFFF"/>
              </w:rPr>
              <w:t xml:space="preserve"> </w:t>
            </w:r>
            <w:r w:rsidR="000D1A74">
              <w:rPr>
                <w:rFonts w:ascii="Times New Roman" w:hAnsi="Times New Roman" w:cs="Times New Roman"/>
                <w:sz w:val="24"/>
                <w:szCs w:val="24"/>
                <w:lang w:eastAsia="ru-RU"/>
              </w:rPr>
              <w:t>658332</w:t>
            </w:r>
            <w:r w:rsidR="000D1A74" w:rsidRPr="004A253A">
              <w:rPr>
                <w:rFonts w:ascii="Times New Roman" w:hAnsi="Times New Roman" w:cs="Times New Roman"/>
                <w:sz w:val="24"/>
                <w:szCs w:val="24"/>
                <w:lang w:eastAsia="ru-RU"/>
              </w:rPr>
              <w:t xml:space="preserve"> грн.</w:t>
            </w:r>
            <w:r w:rsidR="000D1A74">
              <w:rPr>
                <w:rFonts w:ascii="Times New Roman" w:hAnsi="Times New Roman" w:cs="Times New Roman"/>
                <w:sz w:val="24"/>
                <w:szCs w:val="24"/>
                <w:lang w:eastAsia="ru-RU"/>
              </w:rPr>
              <w:t>00 коп. (шістсот п</w:t>
            </w:r>
            <w:r w:rsidR="000D1A74">
              <w:rPr>
                <w:rFonts w:ascii="Times New Roman" w:hAnsi="Times New Roman" w:cs="Times New Roman"/>
                <w:sz w:val="24"/>
                <w:szCs w:val="24"/>
                <w:lang w:val="en-US" w:eastAsia="ru-RU"/>
              </w:rPr>
              <w:t>’</w:t>
            </w:r>
            <w:r w:rsidR="000D1A74">
              <w:rPr>
                <w:rFonts w:ascii="Times New Roman" w:hAnsi="Times New Roman" w:cs="Times New Roman"/>
                <w:sz w:val="24"/>
                <w:szCs w:val="24"/>
                <w:lang w:eastAsia="ru-RU"/>
              </w:rPr>
              <w:t>ятдесят вісім тисяч триста тридцять дві грн. 00 коп</w:t>
            </w:r>
            <w:r w:rsidR="000D1A74">
              <w:rPr>
                <w:rFonts w:ascii="Times New Roman" w:hAnsi="Times New Roman" w:cs="Times New Roman"/>
                <w:sz w:val="24"/>
                <w:szCs w:val="24"/>
                <w:lang w:val="en-US" w:eastAsia="ru-RU"/>
              </w:rPr>
              <w:t>)</w:t>
            </w:r>
            <w:r w:rsidR="000D1A74">
              <w:rPr>
                <w:rFonts w:ascii="Times New Roman" w:hAnsi="Times New Roman" w:cs="Times New Roman"/>
                <w:sz w:val="24"/>
                <w:szCs w:val="24"/>
                <w:lang w:eastAsia="ru-RU"/>
              </w:rPr>
              <w:t>.</w:t>
            </w:r>
            <w:r w:rsidR="005C29BE">
              <w:rPr>
                <w:rFonts w:ascii="Times New Roman" w:hAnsi="Times New Roman" w:cs="Times New Roman"/>
                <w:sz w:val="24"/>
                <w:szCs w:val="24"/>
              </w:rPr>
              <w:t xml:space="preserve"> </w:t>
            </w:r>
          </w:p>
        </w:tc>
      </w:tr>
      <w:tr w:rsidR="001F0BAA" w:rsidRPr="001F0BAA" w14:paraId="58753DBC"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A78D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3EA60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6D6CDEA9" w14:textId="77777777" w:rsidR="000D1A74" w:rsidRDefault="00FF0ECD" w:rsidP="001A10E8">
            <w:pPr>
              <w:pStyle w:val="ab"/>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w:t>
            </w:r>
            <w:r w:rsidR="001A10E8">
              <w:rPr>
                <w:rFonts w:ascii="Times New Roman" w:hAnsi="Times New Roman"/>
                <w:sz w:val="24"/>
                <w:szCs w:val="24"/>
                <w:lang w:val="uk-UA" w:eastAsia="uk-UA"/>
              </w:rPr>
              <w:t>3</w:t>
            </w:r>
            <w:r w:rsidR="00FE64F1">
              <w:rPr>
                <w:rFonts w:ascii="Times New Roman" w:hAnsi="Times New Roman"/>
                <w:sz w:val="24"/>
                <w:szCs w:val="24"/>
                <w:lang w:val="uk-UA" w:eastAsia="uk-UA"/>
              </w:rPr>
              <w:t xml:space="preserve"> до ТД </w:t>
            </w:r>
            <w:r w:rsidR="000D1A74">
              <w:rPr>
                <w:rFonts w:ascii="Times New Roman" w:hAnsi="Times New Roman"/>
                <w:sz w:val="24"/>
                <w:szCs w:val="24"/>
                <w:lang w:val="uk-UA" w:eastAsia="uk-UA"/>
              </w:rPr>
              <w:t>.</w:t>
            </w:r>
          </w:p>
          <w:p w14:paraId="57047D58" w14:textId="1BF74040" w:rsidR="00A00234" w:rsidRPr="00311ECF" w:rsidRDefault="00FE64F1" w:rsidP="00A00234">
            <w:pPr>
              <w:pStyle w:val="ab"/>
              <w:tabs>
                <w:tab w:val="left" w:pos="567"/>
              </w:tabs>
              <w:ind w:left="0"/>
              <w:jc w:val="both"/>
              <w:rPr>
                <w:rFonts w:ascii="Times New Roman" w:hAnsi="Times New Roman"/>
                <w:sz w:val="24"/>
                <w:szCs w:val="24"/>
              </w:rPr>
            </w:pPr>
            <w:r>
              <w:rPr>
                <w:rFonts w:ascii="Times New Roman" w:hAnsi="Times New Roman"/>
                <w:sz w:val="24"/>
                <w:szCs w:val="24"/>
                <w:lang w:val="uk-UA" w:eastAsia="uk-UA"/>
              </w:rPr>
              <w:t xml:space="preserve"> </w:t>
            </w:r>
            <w:r>
              <w:rPr>
                <w:rFonts w:ascii="Times New Roman" w:hAnsi="Times New Roman"/>
                <w:sz w:val="24"/>
                <w:szCs w:val="24"/>
                <w:lang w:val="uk-UA"/>
              </w:rPr>
              <w:t xml:space="preserve"> </w:t>
            </w:r>
            <w:r w:rsidR="00A00234">
              <w:rPr>
                <w:rFonts w:ascii="Times New Roman" w:hAnsi="Times New Roman"/>
                <w:sz w:val="24"/>
                <w:szCs w:val="24"/>
                <w:lang w:val="uk-UA" w:eastAsia="uk-UA"/>
              </w:rPr>
              <w:t xml:space="preserve"> </w:t>
            </w:r>
            <w:r w:rsidR="00A00234">
              <w:rPr>
                <w:rFonts w:ascii="Times New Roman" w:hAnsi="Times New Roman"/>
                <w:sz w:val="24"/>
                <w:szCs w:val="24"/>
                <w:lang w:val="uk-UA"/>
              </w:rPr>
              <w:t xml:space="preserve"> </w:t>
            </w:r>
            <w:r w:rsidR="00A00234" w:rsidRPr="000D1A74">
              <w:rPr>
                <w:rFonts w:ascii="Times New Roman" w:hAnsi="Times New Roman"/>
                <w:color w:val="000000"/>
                <w:sz w:val="24"/>
                <w:szCs w:val="24"/>
              </w:rPr>
              <w:t>Закупівля послуг проводиться з метою</w:t>
            </w:r>
            <w:r w:rsidR="00A00234">
              <w:rPr>
                <w:rFonts w:ascii="Times New Roman" w:hAnsi="Times New Roman"/>
                <w:color w:val="000000"/>
                <w:sz w:val="24"/>
                <w:szCs w:val="24"/>
                <w:lang w:val="uk-UA"/>
              </w:rPr>
              <w:t xml:space="preserve"> дотримання технічних регламентів виробника</w:t>
            </w:r>
            <w:r w:rsidR="00A00234" w:rsidRPr="000D1A74">
              <w:rPr>
                <w:rFonts w:ascii="Times New Roman" w:hAnsi="Times New Roman"/>
                <w:color w:val="000000"/>
                <w:sz w:val="24"/>
                <w:szCs w:val="24"/>
              </w:rPr>
              <w:t xml:space="preserve"> </w:t>
            </w:r>
            <w:r w:rsidR="00A00234">
              <w:rPr>
                <w:rFonts w:ascii="Times New Roman" w:hAnsi="Times New Roman"/>
                <w:color w:val="000000"/>
                <w:sz w:val="24"/>
                <w:szCs w:val="24"/>
                <w:lang w:val="uk-UA"/>
              </w:rPr>
              <w:t xml:space="preserve">та </w:t>
            </w:r>
            <w:r w:rsidR="00A00234" w:rsidRPr="000D1A74">
              <w:rPr>
                <w:rFonts w:ascii="Times New Roman" w:hAnsi="Times New Roman"/>
                <w:color w:val="000000"/>
                <w:sz w:val="24"/>
                <w:szCs w:val="24"/>
              </w:rPr>
              <w:t>відновлення</w:t>
            </w:r>
            <w:r w:rsidR="00A00234">
              <w:rPr>
                <w:rFonts w:ascii="Times New Roman" w:hAnsi="Times New Roman"/>
                <w:color w:val="000000"/>
                <w:sz w:val="24"/>
                <w:szCs w:val="24"/>
                <w:lang w:val="uk-UA"/>
              </w:rPr>
              <w:t xml:space="preserve"> </w:t>
            </w:r>
            <w:r w:rsidR="00A00234" w:rsidRPr="000D1A74">
              <w:rPr>
                <w:rFonts w:ascii="Times New Roman" w:hAnsi="Times New Roman"/>
                <w:color w:val="000000"/>
                <w:sz w:val="24"/>
                <w:szCs w:val="24"/>
              </w:rPr>
              <w:t>характеристик джерел безперебійного живлення</w:t>
            </w:r>
            <w:r w:rsidR="00A00234">
              <w:rPr>
                <w:rFonts w:ascii="Times New Roman" w:hAnsi="Times New Roman"/>
                <w:color w:val="000000"/>
                <w:sz w:val="24"/>
                <w:szCs w:val="24"/>
                <w:lang w:val="uk-UA"/>
              </w:rPr>
              <w:t xml:space="preserve">, що забезпечують безперебійну роботу серверного, телекомунікаційного обладнання та інших пристроїв критичної інфраструктури, відмова яких може призвести до виходу з ладу джерел живлення, незворотної втрати інформації, унеможливить </w:t>
            </w:r>
            <w:r w:rsidR="00A00234">
              <w:rPr>
                <w:rFonts w:ascii="Times New Roman" w:hAnsi="Times New Roman"/>
                <w:color w:val="000000"/>
                <w:sz w:val="24"/>
                <w:szCs w:val="24"/>
                <w:lang w:val="uk-UA"/>
              </w:rPr>
              <w:lastRenderedPageBreak/>
              <w:t xml:space="preserve">надання якісних адміністративних послуг. В умовах постійних перебоїв постачання електроенергії, значних коливань напруги мережі в перехідний період та періодів тривалого знеструмлення, послуги перевірки та заміни основних складових гарантує справну сталу роботу серверів та ліній зв’язку. Допуск до робіт сертифікованих виробником обладнання сервісних інженерів, використання оригінальних комплектуючих є превентивними заходами для уникнення руйнівних наслідків та виходу із ладу більш дороговартісного обладнання, подовжить загальний термін служби ДБЖ.  </w:t>
            </w:r>
            <w:r w:rsidR="00A00234" w:rsidRPr="000D1A74">
              <w:rPr>
                <w:rFonts w:ascii="Times New Roman" w:hAnsi="Times New Roman"/>
                <w:color w:val="1D1D1B"/>
                <w:sz w:val="24"/>
                <w:szCs w:val="24"/>
              </w:rPr>
              <w:t>Якість послуг має відповідати вимогам законів України, нормативним документам щодо показників якості таких послуг, чинних державних стандартів та відповідних дозволів, іншій технічній документації, яка встановлює вимоги до їх якості, а також санітарним, гігієнічним та іншим нормам, встановленим чинним законодавством України для надання такого виду послуг</w:t>
            </w:r>
            <w:r w:rsidR="00A00234">
              <w:rPr>
                <w:color w:val="1D1D1B"/>
              </w:rPr>
              <w:t>.</w:t>
            </w:r>
          </w:p>
          <w:p w14:paraId="03791DB4" w14:textId="62498D08" w:rsidR="00121FA4" w:rsidRPr="00311ECF" w:rsidRDefault="00121FA4" w:rsidP="00A00234">
            <w:pPr>
              <w:pStyle w:val="ab"/>
              <w:tabs>
                <w:tab w:val="left" w:pos="567"/>
              </w:tabs>
              <w:ind w:left="0"/>
              <w:jc w:val="both"/>
              <w:rPr>
                <w:rFonts w:ascii="Times New Roman" w:hAnsi="Times New Roman"/>
                <w:color w:val="333333"/>
                <w:sz w:val="24"/>
                <w:szCs w:val="24"/>
                <w:lang w:eastAsia="uk-UA"/>
              </w:rPr>
            </w:pPr>
          </w:p>
        </w:tc>
      </w:tr>
    </w:tbl>
    <w:p w14:paraId="24CE29BE" w14:textId="77777777" w:rsidR="008A254F" w:rsidRPr="008A254F" w:rsidRDefault="008A254F" w:rsidP="008A254F"/>
    <w:p w14:paraId="14242CB3" w14:textId="77777777" w:rsidR="008A254F" w:rsidRPr="008A254F" w:rsidRDefault="008A254F" w:rsidP="008A254F"/>
    <w:p w14:paraId="4AD39E3A"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37149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019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8100276">
    <w:abstractNumId w:val="3"/>
  </w:num>
  <w:num w:numId="4" w16cid:durableId="55570229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AA"/>
    <w:rsid w:val="000115F4"/>
    <w:rsid w:val="0001694B"/>
    <w:rsid w:val="00031EA1"/>
    <w:rsid w:val="00045C3C"/>
    <w:rsid w:val="00050321"/>
    <w:rsid w:val="000645F4"/>
    <w:rsid w:val="000730D2"/>
    <w:rsid w:val="000758CD"/>
    <w:rsid w:val="000A0BAA"/>
    <w:rsid w:val="000A3433"/>
    <w:rsid w:val="000C139B"/>
    <w:rsid w:val="000D1A74"/>
    <w:rsid w:val="000D2172"/>
    <w:rsid w:val="000D2820"/>
    <w:rsid w:val="00110513"/>
    <w:rsid w:val="001173E3"/>
    <w:rsid w:val="00121FA4"/>
    <w:rsid w:val="001A10E8"/>
    <w:rsid w:val="001C7DA3"/>
    <w:rsid w:val="001F083E"/>
    <w:rsid w:val="001F0BAA"/>
    <w:rsid w:val="0021703B"/>
    <w:rsid w:val="002B1867"/>
    <w:rsid w:val="002C307A"/>
    <w:rsid w:val="002C63FD"/>
    <w:rsid w:val="002E2FE6"/>
    <w:rsid w:val="0030116B"/>
    <w:rsid w:val="00311ECF"/>
    <w:rsid w:val="0032572C"/>
    <w:rsid w:val="003308E7"/>
    <w:rsid w:val="00336387"/>
    <w:rsid w:val="00344DEA"/>
    <w:rsid w:val="0037784B"/>
    <w:rsid w:val="003B4258"/>
    <w:rsid w:val="003E685C"/>
    <w:rsid w:val="004032D8"/>
    <w:rsid w:val="004375B1"/>
    <w:rsid w:val="00444A6D"/>
    <w:rsid w:val="00453140"/>
    <w:rsid w:val="004818EF"/>
    <w:rsid w:val="004914E8"/>
    <w:rsid w:val="00494967"/>
    <w:rsid w:val="004A253A"/>
    <w:rsid w:val="004E3516"/>
    <w:rsid w:val="004E7EC1"/>
    <w:rsid w:val="00551509"/>
    <w:rsid w:val="00561993"/>
    <w:rsid w:val="005761CE"/>
    <w:rsid w:val="0059013D"/>
    <w:rsid w:val="005C1FB3"/>
    <w:rsid w:val="005C29BE"/>
    <w:rsid w:val="005D7B4C"/>
    <w:rsid w:val="005E0AEA"/>
    <w:rsid w:val="005E19DA"/>
    <w:rsid w:val="00630B5A"/>
    <w:rsid w:val="00652385"/>
    <w:rsid w:val="00653D58"/>
    <w:rsid w:val="00656314"/>
    <w:rsid w:val="00664CC7"/>
    <w:rsid w:val="006A02E6"/>
    <w:rsid w:val="006B6C8E"/>
    <w:rsid w:val="006C429C"/>
    <w:rsid w:val="006F4A0A"/>
    <w:rsid w:val="007009CE"/>
    <w:rsid w:val="00713751"/>
    <w:rsid w:val="007304D6"/>
    <w:rsid w:val="00754597"/>
    <w:rsid w:val="00774E8E"/>
    <w:rsid w:val="007A1FC3"/>
    <w:rsid w:val="007A29BC"/>
    <w:rsid w:val="007B2E56"/>
    <w:rsid w:val="007D48C7"/>
    <w:rsid w:val="007E740B"/>
    <w:rsid w:val="00816C61"/>
    <w:rsid w:val="00860763"/>
    <w:rsid w:val="008770E1"/>
    <w:rsid w:val="00891064"/>
    <w:rsid w:val="00893A60"/>
    <w:rsid w:val="008A0537"/>
    <w:rsid w:val="008A254F"/>
    <w:rsid w:val="008F2114"/>
    <w:rsid w:val="008F5AC0"/>
    <w:rsid w:val="009109D3"/>
    <w:rsid w:val="00917DE0"/>
    <w:rsid w:val="00956F7B"/>
    <w:rsid w:val="00974F66"/>
    <w:rsid w:val="00983A42"/>
    <w:rsid w:val="009B4D03"/>
    <w:rsid w:val="009B7982"/>
    <w:rsid w:val="00A00234"/>
    <w:rsid w:val="00A315BF"/>
    <w:rsid w:val="00A356F0"/>
    <w:rsid w:val="00A44A94"/>
    <w:rsid w:val="00A72E26"/>
    <w:rsid w:val="00A84FD7"/>
    <w:rsid w:val="00A972E0"/>
    <w:rsid w:val="00AC6509"/>
    <w:rsid w:val="00AD183C"/>
    <w:rsid w:val="00AF4686"/>
    <w:rsid w:val="00B12EA2"/>
    <w:rsid w:val="00B43BDF"/>
    <w:rsid w:val="00B50DE1"/>
    <w:rsid w:val="00B67BBC"/>
    <w:rsid w:val="00B92F37"/>
    <w:rsid w:val="00BC6D13"/>
    <w:rsid w:val="00BD535F"/>
    <w:rsid w:val="00C04AF5"/>
    <w:rsid w:val="00C44243"/>
    <w:rsid w:val="00C51B5F"/>
    <w:rsid w:val="00CA675E"/>
    <w:rsid w:val="00CB5BAF"/>
    <w:rsid w:val="00CD3172"/>
    <w:rsid w:val="00D27EDC"/>
    <w:rsid w:val="00D44DD9"/>
    <w:rsid w:val="00D52C51"/>
    <w:rsid w:val="00D71C35"/>
    <w:rsid w:val="00D86CAB"/>
    <w:rsid w:val="00DE7036"/>
    <w:rsid w:val="00E07837"/>
    <w:rsid w:val="00E238A9"/>
    <w:rsid w:val="00E248B6"/>
    <w:rsid w:val="00E36F34"/>
    <w:rsid w:val="00E9046C"/>
    <w:rsid w:val="00E953EE"/>
    <w:rsid w:val="00EA064A"/>
    <w:rsid w:val="00EB3033"/>
    <w:rsid w:val="00EB7F33"/>
    <w:rsid w:val="00EF7733"/>
    <w:rsid w:val="00F13671"/>
    <w:rsid w:val="00F20FCE"/>
    <w:rsid w:val="00F21077"/>
    <w:rsid w:val="00F43237"/>
    <w:rsid w:val="00F60212"/>
    <w:rsid w:val="00F9430F"/>
    <w:rsid w:val="00FA4E3E"/>
    <w:rsid w:val="00FC2C2D"/>
    <w:rsid w:val="00FD0D56"/>
    <w:rsid w:val="00FD1911"/>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B2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 w:type="character" w:customStyle="1" w:styleId="uv3um">
    <w:name w:val="uv3um"/>
    <w:basedOn w:val="a0"/>
    <w:rsid w:val="006B6C8E"/>
  </w:style>
  <w:style w:type="table" w:styleId="ac">
    <w:name w:val="Table Grid"/>
    <w:basedOn w:val="a1"/>
    <w:uiPriority w:val="39"/>
    <w:rsid w:val="0030116B"/>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179543679">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1</Pages>
  <Words>2502</Words>
  <Characters>1427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199</cp:revision>
  <cp:lastPrinted>2022-10-12T09:54:00Z</cp:lastPrinted>
  <dcterms:created xsi:type="dcterms:W3CDTF">2021-09-01T05:40:00Z</dcterms:created>
  <dcterms:modified xsi:type="dcterms:W3CDTF">2025-11-25T08:12:00Z</dcterms:modified>
</cp:coreProperties>
</file>